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WeinÜV 1995 — Handhabung der Überprüfung (zu § 31 Abs. 4 Nr. 3 des Weingesetzes)</w:t>
      </w:r>
    </w:p>
    <w:p>
      <w:r>
        <w:rPr>
          <w:color w:val="555555"/>
          <w:sz w:val="18"/>
        </w:rPr>
        <w:t xml:space="preserve">Wein-Überwachungsverordnung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Überprüfungen von Betrieben sind regelmäßig ohne Voranmeldung und so durchzuführen, dass in den Betriebsablauf nicht über das notwendige Maß hinaus eingegriffen wird.</w:t>
      </w:r>
    </w:p>
    <w:p>
      <w:r>
        <w:t xml:space="preserve">(2) Unmittelbar zu Beginn einer Überprüfung ist der Betriebsinhaber oder ein an seiner Stelle verantwortlicher Mitarbeiter über die Maßnahme in Kenntnis zu setzen.</w:t>
      </w:r>
    </w:p>
    <w:p>
      <w:r>
        <w:rPr>
          <w:color w:val="555555"/>
          <w:sz w:val="17"/>
        </w:rPr>
        <w:t xml:space="preserve">Zitiervorschlag: § 26 WeinÜV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https://recht.nulegal.eu/gesetze/Wein%C3%9CV%201995/26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