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WeinÜV 1995 — Ergänzende Vorschriften für den Versand von Teilmengen (zu § 30 Satz 1 Nr. 2 des Weingesetzes)</w:t>
      </w:r>
    </w:p>
    <w:p>
      <w:r>
        <w:rPr>
          <w:color w:val="555555"/>
          <w:sz w:val="18"/>
        </w:rPr>
        <w:t xml:space="preserve">Wein-Überwachungsverordnung</w:t>
      </w:r>
    </w:p>
    <w:p>
      <w:r>
        <w:rPr>
          <w:color w:val="555555"/>
          <w:sz w:val="18"/>
        </w:rPr>
        <w:t xml:space="preserve">Historische Fassung: Stand 10.06.2019 bis 02.09.2026. Dies ist nicht die aktuelle Fassung.</w:t>
      </w:r>
    </w:p>
    <w:p>
      <w:r>
        <w:t xml:space="preserve">Die nach Anhang VI Abschnitt A Nummer 8 Satz 2 der Verordnung (EG) Nr. 436/2009 erforderlichen Vermerke über Mischungen sind auf dem Begleitpapier deutlich lesbar in urkundenfester Schrift durch die Worte "vermischt mit Teilmenge(n) aus Begleitpapier ..." anzubringen. Dabei sind die Bezugsnummern der für jede Teilmenge ausgestellten Begleitpapiere anzugeben. Die Begleitpapiere aller in die Gesamtmenge eingegangenen Teilmengen sind zusammen aufzubewahren. Anstelle dieser Begleitpapiere kann dem Empfänger ein vom Verfügungsberechtigten der Gesamtmenge ausgestelltes Begleitpapier ausgehändigt werden. Der Aussteller hat davon eine Kopie zusammen mit den Begleitpapieren nach Satz 3 aufzubewahren. § 22 Abs. 1 bleibt unberührt.</w:t>
      </w:r>
    </w:p>
    <w:p>
      <w:r>
        <w:rPr>
          <w:color w:val="555555"/>
          <w:sz w:val="17"/>
        </w:rPr>
        <w:t xml:space="preserve">Zitiervorschlag: § 21 WeinÜV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https://recht.nulegal.eu/gesetze/Wein%C3%9CV%201995/21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