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WehrbBTG — Anonyme Eingaben</w:t>
      </w:r>
    </w:p>
    <w:p>
      <w:r>
        <w:rPr>
          <w:color w:val="555555"/>
          <w:sz w:val="18"/>
        </w:rPr>
        <w:t xml:space="preserve">Gesetz zu Artikel 45b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Anonyme Eingaben werden nicht bearbeitet.</w:t>
      </w:r>
    </w:p>
    <w:p>
      <w:r>
        <w:rPr>
          <w:color w:val="555555"/>
          <w:sz w:val="17"/>
        </w:rPr>
        <w:t xml:space="preserve">Zitiervorschlag: § 8 WehrbBTG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https://recht.nulegal.eu/gesetze/WehrbBTG/8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