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WehrbBTG — Anwesenheitspflicht</w:t>
      </w:r>
    </w:p>
    <w:p>
      <w:r>
        <w:rPr>
          <w:color w:val="555555"/>
          <w:sz w:val="18"/>
        </w:rPr>
        <w:t xml:space="preserve">Gesetz zu Artikel 45b des Grundgesetzes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und der Verteidigungsausschuß können jederzeit die Anwesenheit des Wehrbeauftragten verlangen.</w:t>
      </w:r>
    </w:p>
    <w:p>
      <w:r>
        <w:rPr>
          <w:color w:val="555555"/>
          <w:sz w:val="17"/>
        </w:rPr>
        <w:t xml:space="preserve">Zitiervorschlag: § 6 WehrbBTG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https://recht.nulegal.eu/gesetze/WehrbBTG/6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