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WehrbBTG — Allgemeine Richtlinien, Weisungsfreiheit</w:t>
      </w:r>
    </w:p>
    <w:p>
      <w:r>
        <w:rPr>
          <w:color w:val="555555"/>
          <w:sz w:val="18"/>
        </w:rPr>
        <w:t xml:space="preserve">Gesetz zu Artikel 45b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Bundestag und der Verteidigungsausschuß können allgemeine Richtlinien für die Arbeit des Wehrbeauftragten erlassen.</w:t>
      </w:r>
    </w:p>
    <w:p>
      <w:r>
        <w:t xml:space="preserve">(2) Der Wehrbeauftragte ist - unbeschadet des § 1 Abs. 2 - von Weisungen frei.</w:t>
      </w:r>
    </w:p>
    <w:p>
      <w:r>
        <w:rPr>
          <w:color w:val="555555"/>
          <w:sz w:val="17"/>
        </w:rPr>
        <w:t xml:space="preserve">Zitiervorschlag: § 5 WehrbBTG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https://recht.nulegal.eu/gesetze/WehrbBTG/5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