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WehrbBTG — Amtsbefugnisse</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Der Wehrbeauftragte hat in Erfüllung der ihm übertragenen Aufgaben die folgenden Befugnisse:</w:t>
      </w:r>
    </w:p>
    <w:p>
      <w:pPr>
        <w:ind w:left="420"/>
      </w:pPr>
      <w:r>
        <w:t xml:space="preserve">1. Er kann vom Bundesminister der Verteidigung und allen diesem unterstellten Dienststellen und Personen Auskunft und Akteneinsicht verlangen. Diese Rechte können ihm nur verweigert werden, soweit zwingende Geheimhaltungsgründe entgegenstehen. Die Entscheidung über die Verweigerung trifft der Bundesminister der Verteidigung selber oder sein ständiger Stellvertreter im Amt; er hat sie vor dem Verteidigungsausschuß zu vertreten. Auf Grund einer Weisung nach § 1 Abs. 2 und bei einer Eingabe, der eine Beschwer des Einsenders zugrunde liegt, ist der Wehrbeauftragte berechtigt, den Einsender sowie Zeugen und Sachverständige anzuhören. Diese erhalten eine Entschädigung oder Vergütung nach dem Justizvergütungs- und -entschädigungsgesetz.</w:t>
      </w:r>
    </w:p>
    <w:p>
      <w:pPr>
        <w:ind w:left="420"/>
      </w:pPr>
      <w:r>
        <w:t xml:space="preserve">2. Er kann den zuständigen Stellen Gelegenheit zur Regelung einer Angelegenheit geben.</w:t>
      </w:r>
    </w:p>
    <w:p>
      <w:pPr>
        <w:ind w:left="420"/>
      </w:pPr>
      <w:r>
        <w:t xml:space="preserve">3. Er kann einen Vorgang der für die Einleitung des Straf- oder Disziplinarverfahrens zuständigen Stelle zuleiten.</w:t>
      </w:r>
    </w:p>
    <w:p>
      <w:pPr>
        <w:ind w:left="420"/>
      </w:pPr>
      <w:r>
        <w:t xml:space="preserve">4. Er kann jederzeit alle Truppenteile, Stäbe, Dienststellen und Behörden der Bundeswehr und ihre Einrichtungen auch ohne vorherige Anmeldung besuchen. Dieses Recht steht dem Wehrbeauftragten ausschließlich persönlich zu. Die Sätze 2 und 3 aus Nummer 1 finden entsprechende Anwendung.</w:t>
      </w:r>
    </w:p>
    <w:p>
      <w:pPr>
        <w:ind w:left="420"/>
      </w:pPr>
      <w:r>
        <w:t xml:space="preserve">5. Er kann vom Bundesminister der Verteidigung zusammenfassende Berichte über die Ausübung der Disziplinarbefugnis in den Streitkräften und von den zuständigen Bundes- und Landesbehörden statistische Berichte über die Ausübung der Strafrechtspflege anfordern, soweit dadurch die Streitkräfte oder ihre Soldaten berührt werden.</w:t>
      </w:r>
    </w:p>
    <w:p>
      <w:pPr>
        <w:ind w:left="420"/>
      </w:pPr>
      <w:r>
        <w:t xml:space="preserve">6. Er kann in Strafverfahren und gerichtlichen Disziplinarverfahren den Verhandlungen der Gerichte beiwohnen, auch soweit die Öffentlichkeit ausgeschlossen ist. Er hat im gleichen Umfang wie der Anklagevertreter und der Vertreter der Einleitungsbehörde das Recht, die Akten einzusehen. Die Befugnis aus Satz 1 steht ihm auch in Antrags- und Beschwerdeverfahren nach der Wehrdisziplinarordnung und der Wehrbeschwerdeordnung vor den Wehrdienstgerichten sowie in Verfahren vor den Gerichten der Verwaltungsgerichtsbarkeit, die mit seinem Aufgabenbereich zusammenhängen, zu; in diesen Verfahren hat er das Recht zur Akteneinsicht wie ein Verfahrensbeteiligter.</w:t>
      </w:r>
    </w:p>
    <w:p>
      <w:r>
        <w:rPr>
          <w:color w:val="555555"/>
          <w:sz w:val="17"/>
        </w:rPr>
        <w:t xml:space="preserve">Zitiervorschlag: § 3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