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WehrbBTG — Amtsbezüge, Versorgung</w:t>
      </w:r>
    </w:p>
    <w:p>
      <w:r>
        <w:rPr>
          <w:color w:val="555555"/>
          <w:sz w:val="18"/>
        </w:rPr>
        <w:t xml:space="preserve">Gesetz zu Artikel 45b des Grundgesetzes</w:t>
      </w:r>
    </w:p>
    <w:p>
      <w:r>
        <w:rPr>
          <w:color w:val="555555"/>
          <w:sz w:val="18"/>
        </w:rPr>
        <w:t xml:space="preserve">Stand: 01.01.2025 (konsolidierte Textfassung, kein amtliches Inkrafttretensdatum)</w:t>
      </w:r>
    </w:p>
    <w:p>
      <w:r>
        <w:t xml:space="preserve">(1) Der Wehrbeauftragte erhält vom Beginn des Kalendermonats an, in dem das Amtsverhältnis beginnt, bis zum Schluß des Kalendermonats, in dem das Amtsverhältnis endet, Amtsbezüge. § 11 Abs. 1 Buchstaben a und b des Bundesministergesetzes ist mit der Maßgabe entsprechend anzuwenden, daß das Amtsgehalt und der Ortszuschlag 75 vom Hundert des Amtsgehaltes und des Ortszuschlages eines Bundesministers betragen. Die Amtsbezüge werden monatlich im voraus gezahlt.</w:t>
      </w:r>
    </w:p>
    <w:p>
      <w:r>
        <w:t xml:space="preserve">(1a) (weggefallen)</w:t>
      </w:r>
    </w:p>
    <w:p>
      <w:r>
        <w:t xml:space="preserve">(2) Im übrigen werden § 11 Abs. 2 und 4, § 12 Abs. 6 und die §§ 13 bis 20 und 21a des Bundesministergesetzes entsprechend angewandt mit der Maßgabe, daß an die Stelle der vierjährigen Amtszeit (§ 15 Abs. 1 des Bundesministergesetzes) eine fünfjährige Amtszeit tritt. Satz 1 gilt für einen Berufssoldaten oder Soldaten auf Zeit, der zum Wehrbeauftragten ernannt worden ist, entsprechend mit der Maßgabe, daß für Soldaten auf Zeit bei Anwendung des § 18 Abs. 2 des Bundesministergesetzes an die Stelle des Eintritts in den Ruhestand die Beendigung des Dienstverhältnisses tritt.</w:t>
      </w:r>
    </w:p>
    <w:p>
      <w:r>
        <w:t xml:space="preserve">(3) Die Vorschriften des Bundesreisekostengesetzes in der Fassung der Bekanntmachung vom 13. November 1973 (BGBl. I S. 1621), zuletzt geändert durch die Verordnung vom 31. Mai 1979 (BGBl. I S. 618), der höchsten Reisekostenstufe und des Bundesumzugskostengesetzes in der Fassung der Bekanntmachung vom 13. November 1973 (BGBl. I S. 1628), zuletzt geändert durch Artikel VII des Gesetzes vom 20. Dezember 1974 (BGBl. I S. 3716), für die infolge der Ernennung und Beendigung des Amtsverhältnisses erforderlich werdenden Umzüge sind entsprechend anzuwenden.</w:t>
      </w:r>
    </w:p>
    <w:p>
      <w:r>
        <w:rPr>
          <w:color w:val="555555"/>
          <w:sz w:val="17"/>
        </w:rPr>
        <w:t xml:space="preserve">Zitiervorschlag: § 18 WehrbBTG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https://recht.nulegal.eu/gesetze/WehrbBTG/18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