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WehrbBTG — Rechtsstellung des Wehrbeauftragten, Beginn und Beendigung des Amtsverhältnisses</w:t>
      </w:r>
    </w:p>
    <w:p>
      <w:r>
        <w:rPr>
          <w:color w:val="555555"/>
          <w:sz w:val="18"/>
        </w:rPr>
        <w:t xml:space="preserve">Gesetz zu Artikel 45b des Grundgesetzes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Wehrbeauftragte steht nach Maßgabe dieses Gesetzes in einem öffentlich-rechtlichen Amtsverhältnis. Der Präsident des Bundestages ernennt den Gewählten.</w:t>
      </w:r>
    </w:p>
    <w:p>
      <w:r>
        <w:t xml:space="preserve">(2) Das Amtsverhältnis beginnt mit der Aushändigung der Urkunde über die Ernennung oder, falls der Eid vorher geleistet worden ist (§ 14 Abs. 4), mit der Vereidigung.</w:t>
      </w:r>
    </w:p>
    <w:p>
      <w:r>
        <w:t xml:space="preserve">(3) Das Amtsverhältnis endet außer durch Ablauf der Amtszeit nach § 14 Abs. 2 oder durch den Tod</w:t>
      </w:r>
    </w:p>
    <w:p>
      <w:pPr>
        <w:ind w:left="420"/>
      </w:pPr>
      <w:r>
        <w:t xml:space="preserve">1. mit der Abberufung,</w:t>
      </w:r>
    </w:p>
    <w:p>
      <w:pPr>
        <w:ind w:left="420"/>
      </w:pPr>
      <w:r>
        <w:t xml:space="preserve">2. mit der Entlassung auf Verlangen.</w:t>
      </w:r>
    </w:p>
    <w:p>
      <w:r>
        <w:t xml:space="preserve">(4) Der Bundestag kann auf Antrag des Verteidigungsausschusses seinen Präsidenten beauftragen, den Wehrbeauftragten abzuberufen. Dieser Beschluß bedarf der Zustimmung der Mehrheit der Mitglieder des Bundestages.</w:t>
      </w:r>
    </w:p>
    <w:p>
      <w:r>
        <w:t xml:space="preserve">(5) Der Wehrbeauftragte kann jederzeit seine Entlassung verlangen. Der Präsident des Bundestages spricht die Entlassung aus.</w:t>
      </w:r>
    </w:p>
    <w:p>
      <w:r>
        <w:rPr>
          <w:color w:val="555555"/>
          <w:sz w:val="17"/>
        </w:rPr>
        <w:t xml:space="preserve">Zitiervorschlag: § 15 WehrbBTG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https://recht.nulegal.eu/gesetze/WehrbBTG/15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