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WehrbBTG — Wahl des Wehrbeauftragten</w:t>
      </w:r>
    </w:p>
    <w:p>
      <w:r>
        <w:rPr>
          <w:color w:val="555555"/>
          <w:sz w:val="18"/>
        </w:rPr>
        <w:t xml:space="preserve">Gesetz zu Artikel 45b des Grundgesetzes</w:t>
      </w:r>
    </w:p>
    <w:p>
      <w:r>
        <w:rPr>
          <w:color w:val="555555"/>
          <w:sz w:val="18"/>
        </w:rPr>
        <w:t xml:space="preserve">Stand: 10.06.2019 (konsolidierte Textfassung, kein amtliches Inkrafttretensdatum)</w:t>
      </w:r>
    </w:p>
    <w:p>
      <w:r>
        <w:t xml:space="preserve">Der Bundestag wählt in geheimer Wahl mit der Mehrheit seiner Mitglieder den Wehrbeauftragten. Vorschlagsberechtigt sind der Verteidigungsausschuß, die Fraktionen und so viele Abgeordnete, wie nach der Geschäftsordnung der Stärke einer Fraktion entsprechen. Eine Aussprache findet nicht statt.</w:t>
      </w:r>
    </w:p>
    <w:p>
      <w:r>
        <w:rPr>
          <w:color w:val="555555"/>
          <w:sz w:val="17"/>
        </w:rPr>
        <w:t xml:space="preserve">Zitiervorschlag: § 13 WehrbBTG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https://recht.nulegal.eu/gesetze/WehrbBTG/13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