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WehrPflG — Wiederaufnahme des Verfahrens</w:t>
      </w:r>
    </w:p>
    <w:p>
      <w:r>
        <w:rPr>
          <w:color w:val="555555"/>
          <w:sz w:val="18"/>
        </w:rPr>
        <w:t xml:space="preserve">Wehrpflichtgesetz</w:t>
      </w:r>
    </w:p>
    <w:p>
      <w:r>
        <w:rPr>
          <w:color w:val="555555"/>
          <w:sz w:val="18"/>
        </w:rPr>
        <w:t xml:space="preserve">Stand: 10.06.2019 (konsolidierte Textfassung, kein amtliches Inkrafttretensdatum)</w:t>
      </w:r>
    </w:p>
    <w:p>
      <w:r>
        <w:t xml:space="preserve">Wird ein Urteil mit den Folgen des § 30 im Wiederaufnahmeverfahren durch ein Urteil ersetzt, das diese Folgen nicht hat, so gilt der Verlust des Dienstgrades als nicht eingetreten. Die Beendigung des Wehrdienstes durch einen Ausschluss darf für die Erfüllung der Wehrpflicht nicht zum Nachteil des Betroffenen geltend gemacht werden.</w:t>
      </w:r>
    </w:p>
    <w:p>
      <w:r>
        <w:rPr>
          <w:color w:val="555555"/>
          <w:sz w:val="17"/>
        </w:rPr>
        <w:t xml:space="preserve">Zitiervorschlag: § 31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