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29b WehrPflG — Verlängerung des Wehrdienstes aus sonstigen Gründen</w:t>
      </w:r>
    </w:p>
    <w:p>
      <w:r>
        <w:rPr>
          <w:color w:val="555555"/>
          <w:sz w:val="18"/>
        </w:rPr>
        <w:t xml:space="preserve">Wehrpflichtgesetz</w:t>
      </w:r>
    </w:p>
    <w:p>
      <w:r>
        <w:rPr>
          <w:color w:val="555555"/>
          <w:sz w:val="18"/>
        </w:rPr>
        <w:t xml:space="preserve">Stand: 01.01.2026 (konsolidierte Textfassung, kein amtliches Inkrafttretensdatum)</w:t>
      </w:r>
    </w:p>
    <w:p>
      <w:r>
        <w:t xml:space="preserve">Ist ein Soldat im Entlassungszeitpunkt wegen Verschleppung, Gefangenschaft oder aus sonstigen Gründen, die mit dem Dienst zusammenhängen, dem Einflussbereich des Dienstherrn entzogen, so ist er mit Ablauf des auf die Beendigung dieses Zustandes folgenden Monats zu entlassen.</w:t>
      </w:r>
    </w:p>
    <w:p>
      <w:r>
        <w:rPr>
          <w:color w:val="555555"/>
          <w:sz w:val="17"/>
        </w:rPr>
        <w:t xml:space="preserve">Zitiervorschlag: § 29b WehrPflG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https://recht.nulegal.eu/gesetze/WehrPflG/29b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