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WehrPflG — Beendigungsgründe</w:t>
      </w:r>
    </w:p>
    <w:p>
      <w:r>
        <w:rPr>
          <w:color w:val="555555"/>
          <w:sz w:val="18"/>
        </w:rPr>
        <w:t xml:space="preserve">Wehrpflichtgesetz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Wehrdienst endet</w:t>
      </w:r>
    </w:p>
    <w:p>
      <w:pPr>
        <w:ind w:left="420"/>
      </w:pPr>
      <w:r>
        <w:t xml:space="preserve">1. durch Entlassung (§§ 29 und 29b),</w:t>
      </w:r>
    </w:p>
    <w:p>
      <w:pPr>
        <w:ind w:left="420"/>
      </w:pPr>
      <w:r>
        <w:t xml:space="preserve">2. im Falle einer Wehrübung, deren Endzeitpunkt kalendermäßig bestimmt ist, durch Ablauf der für den Wehrdienst festgesetzten Zeit, es sei denn, der Bereitschaftsdienst nach § 6 Absatz 6 ist angeordnet oder der Spannungs- oder Verteidigungsfall ist eingetreten,</w:t>
      </w:r>
    </w:p>
    <w:p>
      <w:pPr>
        <w:ind w:left="420"/>
      </w:pPr>
      <w:r>
        <w:t xml:space="preserve">3. durch Umwandlung des Wehrdienstverhältnisses in ein Zivildienstverhältnis nach § 19 Absatz 2 des Zivildienstgesetzes,</w:t>
      </w:r>
    </w:p>
    <w:p>
      <w:pPr>
        <w:ind w:left="420"/>
      </w:pPr>
      <w:r>
        <w:t xml:space="preserve">4. durch Ausschluss (§ 30).</w:t>
      </w:r>
    </w:p>
    <w:p>
      <w:r>
        <w:rPr>
          <w:color w:val="555555"/>
          <w:sz w:val="17"/>
        </w:rPr>
        <w:t xml:space="preserve">Zitiervorschlag: § 28 WehrPflG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https://recht.nulegal.eu/gesetze/WehrPflG/28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