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WehrPflG — Anwendung dieses Gesetzes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nachfolgenden Vorschriften gelten nach Maßgabe der folgenden Absätze.</w:t>
      </w:r>
    </w:p>
    <w:p>
      <w:r>
        <w:t xml:space="preserve">(2) Die §§ 3 bis 52 gelten im Spannungs- oder Verteidigungsfall.</w:t>
      </w:r>
    </w:p>
    <w:p>
      <w:r>
        <w:t xml:space="preserve">(3) Außerhalb des Spannungs- oder Verteidigungsfalls gelten die §§ 3, 8a bis 20b, 25, 32 bis 35, 44 und 45.</w:t>
      </w:r>
    </w:p>
    <w:p>
      <w:r>
        <w:t xml:space="preserve">(4) Die §§ 15a und 16 sind nur auf Betroffene anzuwenden, die nach dem 31. Dezember 2007 geboren sind. Satz 1 gilt nicht im Spannungs- oder Verteidigungsfall.</w:t>
      </w:r>
    </w:p>
    <w:p>
      <w:r>
        <w:rPr>
          <w:color w:val="555555"/>
          <w:sz w:val="17"/>
        </w:rPr>
        <w:t xml:space="preserve">Zitiervorschlag: § 2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