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15b WehrPflG — Datenverarbeitung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Das Bundesamt für das Personalmanagement der Bundeswehr darf die nach den §§ 15 bis 15a erhobenen personenbezogenen Daten neben den dort aufgeführten Zwecken nur für folgende Zwecke verarbeiten:</w:t>
      </w:r>
    </w:p>
    <w:p>
      <w:pPr>
        <w:ind w:left="420"/>
      </w:pPr>
      <w:r>
        <w:t xml:space="preserve">1. Übersendung von Informationen über Tätigkeiten in den Streitkräften,</w:t>
      </w:r>
    </w:p>
    <w:p>
      <w:pPr>
        <w:ind w:left="420"/>
      </w:pPr>
      <w:r>
        <w:t xml:space="preserve">2. Personalbearbeitung, wenn der Wehrpflichtige in der Bereitschaftserklärung nach § 15a Interesse an einem Wehrdienst bekundet,</w:t>
      </w:r>
    </w:p>
    <w:p>
      <w:pPr>
        <w:ind w:left="420"/>
      </w:pPr>
      <w:r>
        <w:t xml:space="preserve">3. Einberufung und Heranziehung zum Wehrdienst im Spannungs- oder Verteidigungsfall,</w:t>
      </w:r>
    </w:p>
    <w:p>
      <w:pPr>
        <w:ind w:left="420"/>
      </w:pPr>
      <w:r>
        <w:t xml:space="preserve">4. Übermittlung an die Bundesagentur für Arbeit für Zwecke der Durchführung des Arbeitssicherstellungsgesetzes.</w:t>
      </w:r>
    </w:p>
    <w:p>
      <w:r>
        <w:t xml:space="preserve">(2) § 22 Absatz 2 des Bundesdatenschutzgesetzes gilt entsprechend.</w:t>
      </w:r>
    </w:p>
    <w:p>
      <w:r>
        <w:rPr>
          <w:color w:val="555555"/>
          <w:sz w:val="17"/>
        </w:rPr>
        <w:t xml:space="preserve">Zitiervorschlag: § 15b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https://recht.nulegal.eu/gesetze/WehrPflG/15b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