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WehrPflG — Wehrersatzbehörden</w:t>
      </w:r>
    </w:p>
    <w:p>
      <w:r>
        <w:rPr>
          <w:color w:val="555555"/>
          <w:sz w:val="18"/>
        </w:rPr>
        <w:t xml:space="preserve">Wehrpflichtgesetz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Die Aufgaben des Wehrersatzwesens werden in bundeseigener Verwaltung durchgeführt und folgenden, dem Bundesministerium der Verteidigung unterstehenden Behörden der Bundeswehrverwaltung übertragen:</w:t>
      </w:r>
    </w:p>
    <w:p>
      <w:pPr>
        <w:ind w:left="420"/>
      </w:pPr>
      <w:r>
        <w:t xml:space="preserve">1. Bundesamt für das Personalmanagement der Bundeswehr – Bundesoberbehörde –,</w:t>
      </w:r>
    </w:p>
    <w:p>
      <w:pPr>
        <w:ind w:left="420"/>
      </w:pPr>
      <w:r>
        <w:t xml:space="preserve">2. Karrierecenter der Bundeswehr – Bundesunterbehörden –.</w:t>
      </w:r>
    </w:p>
    <w:p>
      <w:r>
        <w:rPr>
          <w:color w:val="555555"/>
          <w:sz w:val="17"/>
        </w:rPr>
        <w:t xml:space="preserve">Zitiervorschlag: § 14 WehrPflG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https://recht.nulegal.eu/gesetze/WehrPflG/14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