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WehrPflG — Entwicklungsdienst</w:t>
      </w:r>
    </w:p>
    <w:p>
      <w:r>
        <w:rPr>
          <w:color w:val="555555"/>
          <w:sz w:val="18"/>
        </w:rPr>
        <w:t xml:space="preserve">Wehrpflichtgesetz</w:t>
      </w:r>
    </w:p>
    <w:p>
      <w:r>
        <w:rPr>
          <w:color w:val="555555"/>
          <w:sz w:val="18"/>
        </w:rPr>
        <w:t xml:space="preserve">Stand: 10.06.2019 (konsolidierte Textfassung, kein amtliches Inkrafttretensdatum)</w:t>
      </w:r>
    </w:p>
    <w:p>
      <w:r>
        <w:t xml:space="preserve">(1) Wehrpflichtige werden bis zur Vollendung des 28. Lebensjahres nicht zum Wehrdienst herangezogen, wenn sie sich gegenüber einem nach § 2 des Entwicklungshelfer-Gesetzes anerkannten Träger des Entwicklungsdienstes im Rahmen des Bedarfs dieses Trägers vertraglich zur Leistung eines mindestens zweijährigen Entwicklungsdienstes verpflichtet haben, sich in angemessener Weise für die spätere Tätigkeit als Entwicklungshelfer fortbilden und das Bundesministerium für wirtschaftliche Zusammenarbeit und Entwicklung dies bestätigt.</w:t>
      </w:r>
    </w:p>
    <w:p>
      <w:r>
        <w:t xml:space="preserve">(2) Wehrpflichtige werden ferner nicht zum Wehrdienst herangezogen, wenn und solange sie die Voraussetzungen des § 1 Absatz 1 oder Absatz 2 des Entwicklungshelfer-Gesetzes erfüllen.</w:t>
      </w:r>
    </w:p>
    <w:p>
      <w:r>
        <w:t xml:space="preserve">(3) Haben Wehrpflichtige Entwicklungsdienst von der in Absatz 1 genannten Mindestdauer geleistet, so erlischt ihre Pflicht, Grundwehrdienst zu leisten. Wird der Entwicklungsdienst aus Gründen, die der Wehrpflichtige nicht zu vertreten hat, vorzeitig beendet, so ist die im Entwicklungsdienst zurückgelegte Zeit, soweit sie die Zeit übersteigt, die der Grundwehrdienst dauert, auf den Wehrdienst anzurechnen.</w:t>
      </w:r>
    </w:p>
    <w:p>
      <w:r>
        <w:t xml:space="preserve">(4) Die Träger des Entwicklungsdienstes sind verpflichtet, das Vorliegen sowie den Wegfall der Voraussetzungen für die Nichtheranziehung von Wehrpflichtigen der zuständigen Wehrersatzbehörde anzuzeigen.</w:t>
      </w:r>
    </w:p>
    <w:p>
      <w:r>
        <w:rPr>
          <w:color w:val="555555"/>
          <w:sz w:val="17"/>
        </w:rPr>
        <w:t xml:space="preserve">Zitiervorschlag: § 13b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