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WbG (Nordrhein-Westfalen) — Unterschiedsbetrag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Einrichtungen der Weiterbildung erhalten einen zusätzlichen jährlichen Förderbetrag in Höhe der Differenz zwischen der Förderung für die Personalkosten nach § 7 Absatz 2 für die am 1. Januar 2022 hauptamtlich beziehungs­weise hauptberuflich pädagogisch beschäftigten Personen und dem Höchstförderbetrag 2021.</w:t>
      </w:r>
    </w:p>
    <w:p>
      <w:r>
        <w:t xml:space="preserve">(2) Der Unterschiedsbetrag kann für zusätzliches pädagogisches Personal, zur Finanzierung von Unterrichtsstunden (§ 22 Absatz 4), für andere unterrichtsbegleitende Angebote oder für die Fortbildung der Lehrenden eingesetzt werden.</w:t>
      </w:r>
    </w:p>
    <w:p>
      <w:r>
        <w:rPr>
          <w:color w:val="555555"/>
          <w:sz w:val="17"/>
        </w:rPr>
        <w:t xml:space="preserve">Zitiervorschlag: § 8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