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WbG (Nordrhein-Westfalen) — Berichterstattung</w:t>
      </w:r>
    </w:p>
    <w:p>
      <w:r>
        <w:rPr>
          <w:color w:val="555555"/>
          <w:sz w:val="18"/>
        </w:rPr>
        <w:t xml:space="preserve">Weiterbildungsgesetz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Einmal in jeder Legislaturperiode legt das für Weiterbildung zuständige Ministerium auf Grundlage des Berichtswesens Weiterbildung Nordrhein-Westfalen einen Landesweiterbildungsbericht vor und leitet diesen dem Landtag zu.</w:t>
      </w:r>
    </w:p>
    <w:p>
      <w:r>
        <w:t xml:space="preserve">VII. Abschnitt</w:t>
      </w:r>
    </w:p>
    <w:p>
      <w:r>
        <w:t xml:space="preserve">Inkrafttreten, Übergang</w:t>
      </w:r>
    </w:p>
    <w:p>
      <w:r>
        <w:rPr>
          <w:color w:val="555555"/>
          <w:sz w:val="17"/>
        </w:rPr>
        <w:t xml:space="preserve">Zitiervorschlag: § 27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