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WbG (Nordrhein-Westfalen) — Regionalkonferenz</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Unterstützung der Neustrukturierung der Weiterbildung in der Region findet mindestens einmal jährlich eine Regionalkonferenz statt. Sie dient der Überprüfung der Wirksamkeit des Gesetzes und soll die Weiterbildungsangebote und deren Förderung sichern.</w:t>
      </w:r>
    </w:p>
    <w:p>
      <w:r>
        <w:t xml:space="preserve">(2) Die Bezirksregierungen laden hierzu die in ihrem Bezirk tätigen Träger und Einrichtungen der Weiterbildung und das zuständige Landesjugendamt ein. Die Teilnahme ist freiwillig.</w:t>
      </w:r>
    </w:p>
    <w:p>
      <w:r>
        <w:rPr>
          <w:color w:val="555555"/>
          <w:sz w:val="17"/>
        </w:rPr>
        <w:t xml:space="preserve">Zitiervorschlag: § 24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