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WbG (Nordrhein-Westfalen) — Investitionskosten</w:t>
      </w:r>
    </w:p>
    <w:p>
      <w:r>
        <w:rPr>
          <w:color w:val="555555"/>
          <w:sz w:val="18"/>
        </w:rPr>
        <w:t xml:space="preserve">Weiterbildungsgesetz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Mittel des Schulbauprogramms im jeweiligen Gemeindefinanzierungsgesetz werden auch für Einrichtungen der Weiterbildung in kommunaler Trägerschaft zur Verfügung gestellt.</w:t>
      </w:r>
    </w:p>
    <w:p>
      <w:r>
        <w:t xml:space="preserve">(2) Das Land kann Einrichtungen der Weiterbildung in anderer Trägerschaft, auch Akademien, Bildungshäuser, Einrichtungen der Familien­bildung oder vergleichbare Einrichtungen mit eigener Tagungsinfrastruktur, Zuschüsse zu den notwendigen Investitionskosten gewähren.</w:t>
      </w:r>
    </w:p>
    <w:p>
      <w:r>
        <w:rPr>
          <w:color w:val="555555"/>
          <w:sz w:val="17"/>
        </w:rPr>
        <w:t xml:space="preserve">Zitiervorschlag: § 20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