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WbG (Nordrhein-Westfalen) — Innovationsfonds</w:t>
      </w:r>
    </w:p>
    <w:p>
      <w:r>
        <w:rPr>
          <w:color w:val="555555"/>
          <w:sz w:val="18"/>
        </w:rPr>
        <w:t xml:space="preserve">Weiterbildungsgesetz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stellt jährlich wenigstens eine Million Euro für einen Innovationsfonds für Weiterbildung zur Förderung von Projekten im Sinne von § 17 bereit. Gefördert werden Maßnahmen die zum Aufbau eines Systems des lebensbegleitenden Lernens beitragen und möglichst einrichtungs- und trägerübergreifend im Sinne von § 5 angelegt sind, mit jeweils bis zu 50 000 Euro.</w:t>
      </w:r>
    </w:p>
    <w:p>
      <w:r>
        <w:t xml:space="preserve">(2) Die Fördermittel werden im Wettbewerbsverfahren auf Grundlage einer Förderbekanntmachung vergeben. Das Nähere regelt das für Weiterbildung zuständige Ministerium durch Fördergrundsätze.</w:t>
      </w:r>
    </w:p>
    <w:p>
      <w:r>
        <w:t xml:space="preserve">(3) Bereits mit einer Entwicklungspauschale nach § 18 geförderte Maßnahmen können nicht gefördert werden.</w:t>
      </w:r>
    </w:p>
    <w:p>
      <w:r>
        <w:t xml:space="preserve">V. Abschnitt</w:t>
      </w:r>
    </w:p>
    <w:p>
      <w:r>
        <w:t xml:space="preserve">Weitere Förderungen und Förderverfahren</w:t>
      </w:r>
    </w:p>
    <w:p>
      <w:r>
        <w:rPr>
          <w:color w:val="555555"/>
          <w:sz w:val="17"/>
        </w:rPr>
        <w:t xml:space="preserve">Zitiervorschlag: § 19 WbG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https://recht.nulegal.eu/gesetze/WbG/19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