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WbG (Nordrhein-Westfalen) — Entwicklungspauschale</w:t>
      </w:r>
    </w:p>
    <w:p>
      <w:r>
        <w:rPr>
          <w:color w:val="555555"/>
          <w:sz w:val="18"/>
        </w:rPr>
        <w:t xml:space="preserve">Weiterbildungsgesetz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Weiterbildungseinrichtungen erhalten einen zusätzlichen pauschalierten Zuschuss zur Grundförderung zur Durchführung von Maßnahmen nach § 17. Dieser Zuschuss beträgt ab dem 1. Januar 2022 zweieinhalb Prozent des für die Einrichtung möglichen Höchstförderbetrages 2021, mindestens aber 5 000 Euro je Einrichtung, und ab dem 1. Januar 2023 fünf Prozent des für die Einrichtung möglichen Höchstförderbetrages 2021, mindestens aber 10 000 Euro je Einrichtung.</w:t>
      </w:r>
    </w:p>
    <w:p>
      <w:r>
        <w:t xml:space="preserve">(2) Der Nachweis über die eingesetzten Mittel erfolgt durch einen Sachbericht. Das für die Weiterbildung zuständige Ministerium stellt dafür ein einheitliches Muster zur Verfügung.</w:t>
      </w:r>
    </w:p>
    <w:p>
      <w:r>
        <w:rPr>
          <w:color w:val="555555"/>
          <w:sz w:val="17"/>
        </w:rPr>
        <w:t xml:space="preserve">Zitiervorschlag: § 18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