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WbG (Nordrhein-Westfalen) — Finanzierung von Einrichtungender Weiterbildung in anderer Trägerschaft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anerkannten Einrichtungen der Weiterbildung haben Anspruch auf Bezuschussung durch das Land.</w:t>
      </w:r>
    </w:p>
    <w:p>
      <w:r>
        <w:t xml:space="preserve">(2) Das Land gewährt dem Träger einen Zuschuss zu den Kosten einer mindestens im Umfang von 75 Prozent besetzten Stelle. Je Stelle beträgt der Leistungsumfang 1 400 Unterrichtsstunden (§ 22 Absatz 4) beziehungsweise 1 300 Teilnehmertage (§ 22 Absatz 5) in den in § 11 Absatz 2 genannten Bereichen. Zusätzlich erhält der Träger den Unterschiedsbetrag nach § 8.</w:t>
      </w:r>
    </w:p>
    <w:p>
      <w:r>
        <w:t xml:space="preserve">(3) § 13 Abs. 2 gilt entsprechend.</w:t>
      </w:r>
    </w:p>
    <w:p>
      <w:r>
        <w:t xml:space="preserve">(4) Die Bezuschussung erfolgt nach Durchschnittsbeträgen in Höhe von 60 Prozent der Durchschnittsbeträge gemäß § 13 Absatz 3.</w:t>
      </w:r>
    </w:p>
    <w:p>
      <w:r>
        <w:t xml:space="preserve">(5) Der Landeszuschuss für eine Einrichtung darf den Höchstförderbetrag 2021 nicht übersteigen. Übersteigt der 2022 gewährte Zuschuss nach Absatz 2 den im Jahr 2021 erhaltenen Zuschuss, so ist der höhere Zuschuss zu zahlen. Neu anerkannte Einrichtungen erhalten eine jährliche Förderung für zwei Stellen.</w:t>
      </w:r>
    </w:p>
    <w:p>
      <w:r>
        <w:t xml:space="preserve">(6) Nach dem 31. Dezember 2021 neu anerkannte Einrichtungen erhalten eine jährliche Förderung mit Beginn des dritten Haushaltsjahres nach ihrer Anerkennung.</w:t>
      </w:r>
    </w:p>
    <w:p>
      <w:r>
        <w:t xml:space="preserve">(7) Für die kommunalen Familienbildungsstätten gelten die Absätze 1 bis 5 entsprechend.</w:t>
      </w:r>
    </w:p>
    <w:p>
      <w:r>
        <w:rPr>
          <w:color w:val="555555"/>
          <w:sz w:val="17"/>
        </w:rPr>
        <w:t xml:space="preserve">Zitiervorschlag: § 16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