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WbG (Nordrhein-Westfalen) — Anerkennungsvoraussetzungen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Voraussetzung für die Förderung der Einrichtungen aus Mitteln des Landes ist die Anerkennung durch die zuständige Bezirksregierung oder für Einrichtungen der Weiterbildung, die nach ihrer Bezeichnung dem Bereich der Eltern- und Familienbildung angehören und zumindest zu drei Vierteln ihres Lehrprogramms in diesem Bereich tätig sind, das zuständige Landesjugendamt.</w:t>
      </w:r>
    </w:p>
    <w:p>
      <w:r>
        <w:t xml:space="preserve">(2) Die Anerkennung einer Bildungsstätte ist auf Antrag auszusprechen, wenn folgende Voraussetzungen erfüllt werden:</w:t>
      </w:r>
    </w:p>
    <w:p>
      <w:r>
        <w:t xml:space="preserve">1. Sie muss nach Art und Umfang ihrer Tätigkeit die Gewähr der Dauer bieten.</w:t>
      </w:r>
    </w:p>
    <w:p>
      <w:r>
        <w:t xml:space="preserve">2. Sie muss ein Mindestangebot auf dem Gebiet der Weiterbildung von 2.800 Unterrichtsstunden jährlich in ihrem Einzugsbereich innerhalb des Landes Nordrhein-Westfalen durchführen. Als Einrichtungen der Weiterbildung mit Internatsbetrieb anerkannte Bildungsstätten, die bereits im Jahr 1999 eine Förderung nach dem Weiterbildungsgesetz erhalten haben, können das in Satz 1 genannte Mindestangebot auch mit 2.600 durchgeführten Teilnehmertagen nachweisen.</w:t>
      </w:r>
    </w:p>
    <w:p>
      <w:r>
        <w:t xml:space="preserve">3. Sie muss ausschließlich dem Zweck der Weiterbildung dienen.</w:t>
      </w:r>
    </w:p>
    <w:p>
      <w:r>
        <w:t xml:space="preserve">4. Ihr Angebot an Bildungsveranstaltungen darf nicht vorrangig Zwecken einzelner Betriebe dienen.</w:t>
      </w:r>
    </w:p>
    <w:p>
      <w:r>
        <w:t xml:space="preserve">5. Ihr Angebot an Bildungsveranstaltungen darf nicht der Gewinnerzielung dienen.</w:t>
      </w:r>
    </w:p>
    <w:p>
      <w:r>
        <w:t xml:space="preserve">6. Der Träger muss sich verpflichten, der zuständigen Bezirksregierung oder dem zuständigen Landesjugendamt auf Anfrage Auskunft über die Lehrveranstaltungen zu geben.</w:t>
      </w:r>
    </w:p>
    <w:p>
      <w:r>
        <w:t xml:space="preserve">7. Der Träger muss sich zur Zusammenarbeit gemäß § 5 verpflichten.</w:t>
      </w:r>
    </w:p>
    <w:p>
      <w:r>
        <w:t xml:space="preserve">8. Der Träger muss zur Kontrolle seines Finanzgebarens in Bezug auf die Bildungsstätte durch die zuständige Bezirksregierung oder das zuständige Landesjugendamt bereit sein.</w:t>
      </w:r>
    </w:p>
    <w:p>
      <w:r>
        <w:t xml:space="preserve">9. Der Träger muss die Gewähr für die ordnungsgemäße Verwendung der Förderungsmittel bieten.</w:t>
      </w:r>
    </w:p>
    <w:p>
      <w:r>
        <w:t xml:space="preserve">10. Die Bildungsstätte muss eine Satzung entsprechend § 4 Abs. 3 haben.</w:t>
      </w:r>
    </w:p>
    <w:p>
      <w:r>
        <w:t xml:space="preserve">11. Die Bildungsstätte muss ein extern zertifiziertes Qualitätsmanagementsystem nach § 2 Absatz 3 nachweisen.</w:t>
      </w:r>
    </w:p>
    <w:p>
      <w:r>
        <w:rPr>
          <w:color w:val="555555"/>
          <w:sz w:val="17"/>
        </w:rPr>
        <w:t xml:space="preserve">Zitiervorschlag: § 15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