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WbG (Nordrhein-Westfalen) — Allgemeines</w:t>
      </w:r>
    </w:p>
    <w:p>
      <w:r>
        <w:rPr>
          <w:color w:val="555555"/>
          <w:sz w:val="18"/>
        </w:rPr>
        <w:t xml:space="preserve">Weiterbildungsgesetz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Bildungsstätten anderer Träger wie der Kirchen und freien Vereinigungen werden nach Maßgabe der §§ 15 und 16 als Einrichtungen der Weiterbildung gefördert.</w:t>
      </w:r>
    </w:p>
    <w:p>
      <w:r>
        <w:t xml:space="preserve">(2) Das Angebot an Bildungsveranstaltungen dieser Einrichtungen kann die in § 3 genannten Inhalte und Bereiche umfassen.</w:t>
      </w:r>
    </w:p>
    <w:p>
      <w:r>
        <w:rPr>
          <w:color w:val="555555"/>
          <w:sz w:val="17"/>
        </w:rPr>
        <w:t xml:space="preserve">Zitiervorschlag: § 14 WbG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https://recht.nulegal.eu/gesetze/WbG/14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