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WbG (Nordrhein-Westfalen) — Recht auf Weiterbildung</w:t>
      </w:r>
    </w:p>
    <w:p>
      <w:r>
        <w:rPr>
          <w:color w:val="555555"/>
          <w:sz w:val="18"/>
        </w:rPr>
        <w:t xml:space="preserve">Weiterbildungsgesetz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und jeder hat das Recht, die zur freien Entfaltung der Persönlichkeit und zur freien Wahl des Berufs erforderlichen Kenntnisse und Qualifikationen zu erwerben und zu vertiefen.</w:t>
      </w:r>
    </w:p>
    <w:p>
      <w:r>
        <w:t xml:space="preserve">(2) Soweit Kenntnisse und Qualifikationen nach Beendigung einer ersten Bildungsphase in Schule, Hochschule oder Berufsausbildung erworben werden sollen, haben Einrichtungen der Weiterbildung die Aufgabe, ein entsprechendes Angebot an Bildungsgängen nach den Vorschriften dieses Gesetzes bereitzustellen.</w:t>
      </w:r>
    </w:p>
    <w:p>
      <w:r>
        <w:t xml:space="preserve">(3) Einrichtungen der Weiterbildung erfüllen ihre Aufgaben im Zusammenwirken mit anderen Bildungs- und Kultureinrichtungen.</w:t>
      </w:r>
    </w:p>
    <w:p>
      <w:r>
        <w:rPr>
          <w:color w:val="555555"/>
          <w:sz w:val="17"/>
        </w:rPr>
        <w:t xml:space="preserve">Zitiervorschlag: § 1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