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WbFöVO (Sachsen) — Grundversorgung mit Bildungsangeboten</w:t>
      </w:r>
    </w:p>
    <w:p>
      <w:r>
        <w:rPr>
          <w:color w:val="555555"/>
          <w:sz w:val="18"/>
        </w:rPr>
        <w:t xml:space="preserve">Weiterbildungsförderungsverordnung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Grundversorgung im Sinne von § 6 Absatz 3 des Weiterbildungsgesetzes umfasst Bildungsangebote, die die Entfaltung der Persönlichkeit fördern, die Fähigkeit zur Mitgestaltung des demokratischen Gemeinwesens stärken und die allgemeinen Anforderungen der Arbeitswelt bewältigen helfen.</w:t>
      </w:r>
    </w:p>
    <w:p>
      <w:r>
        <w:t xml:space="preserve">(2) Die Grundversorgung wird durch ein Pflichtangebot der Volkshochschulen und Angebote anderer anerkannter Bildungsinstitutionen gewährleistet.</w:t>
      </w:r>
    </w:p>
    <w:p>
      <w:r>
        <w:rPr>
          <w:color w:val="555555"/>
          <w:sz w:val="17"/>
        </w:rPr>
        <w:t xml:space="preserve">Zitiervorschlag: § 3 WbFöVO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https://recht.nulegal.eu/gesetze/WbF%C3%B6VO/3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