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24 WbFöVO (Sachsen) — Inkrafttreten, Außerkrafttreten</w:t>
      </w:r>
    </w:p>
    <w:p>
      <w:r>
        <w:rPr>
          <w:color w:val="555555"/>
          <w:sz w:val="18"/>
        </w:rPr>
        <w:t xml:space="preserve">Weiterbildungsförderungsverordnung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Diese Verordnung tritt am Tag nach der Verkündung in Kraft. Gleichzeitig tritt die Weiterbildungsförderungsverordnung vom 15. Oktober 2008 (SächsGVBl. S. 614), die zuletzt durch die Verordnung vom 21. November 2022 (SächsGVBl. S. 656) geändert worden ist, außer Kraft.</w:t>
      </w:r>
    </w:p>
    <w:p>
      <w:r>
        <w:t xml:space="preserve">Dresden, den 15. Mai 2024</w:t>
      </w:r>
    </w:p>
    <w:p>
      <w:r>
        <w:t xml:space="preserve">Der Staatsminister für Kultus</w:t>
      </w:r>
    </w:p>
    <w:p>
      <w:r>
        <w:t xml:space="preserve">Christian Piwarz</w:t>
      </w:r>
    </w:p>
    <w:p>
      <w:r>
        <w:rPr>
          <w:color w:val="555555"/>
          <w:sz w:val="17"/>
        </w:rPr>
        <w:t xml:space="preserve">Zitiervorschlag: § 24 WbFöVO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https://recht.nulegal.eu/gesetze/WbF%C3%B6VO/24</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