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WbFöVO (Sachsen) — Wirksamkeitsbeurteilung</w:t>
      </w:r>
    </w:p>
    <w:p>
      <w:r>
        <w:rPr>
          <w:color w:val="555555"/>
          <w:sz w:val="18"/>
        </w:rPr>
        <w:t xml:space="preserve">Weiterbildungsförderungsverordnung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Umsetzung dieser Verordnung wird bis zum 31. Dezember 2027 insbesondere hinsichtlich der Förderinstrumente sowie der damit verbundenen Verwaltungsverfahren betrachtet und in ihrer Wirksamkeit beurteilt.</w:t>
      </w:r>
    </w:p>
    <w:p>
      <w:r>
        <w:rPr>
          <w:color w:val="555555"/>
          <w:sz w:val="17"/>
        </w:rPr>
        <w:t xml:space="preserve">Zitiervorschlag: § 22 WbFöVO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https://recht.nulegal.eu/gesetze/WbF%C3%B6VO/22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