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WbFöVO (Sachsen) — Anwendungsbereich</w:t>
      </w:r>
    </w:p>
    <w:p>
      <w:r>
        <w:rPr>
          <w:color w:val="555555"/>
          <w:sz w:val="18"/>
        </w:rPr>
        <w:t xml:space="preserve">Weiterbildungsförderungsverordnung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regelt Einzelheiten zum Verfahren der Anerkennung von Einrichtungen der Erwachsenenbildung nach § 5 Absatz 2 bis 4 des Weiterbildungsgesetzes (Bildungsinstitutionen) sowie zur Art der finanziellen Förderung durch den Freistaat Sachsen nach § 6 des Weiterbildungsgesetzes .</w:t>
      </w:r>
    </w:p>
    <w:p>
      <w:r>
        <w:t xml:space="preserve">(2) Für die Förderung nach Abschnitt 4 finden die §§ 23 , 44 und 44a der Sächsischen Haushaltsordnung in der Fassung der Bekanntmachung vom 10. April 2001 (SächsGVBl. S. 153), die zuletzt durch Artikel 1 des Gesetzes vom 21. Mai 2021 (SächsGVBl. S. 578) geändert worden ist, sowie die Verwaltungsvorschriften des Sächsischen Staatsministeriums der Finanzen zur Sächsischen Haushaltsordnung vom 27. Juni 2005 (SächsABl. SDr. S. S 226), die zuletzt durch die Verwaltungsvorschrift vom 20. Dezember 2023 (SächsABl. 2024 S. 97) geändert worden sind, zuletzt enthalten in der Verwaltungsvorschrift vom 1. Dezember 2023 (SächsABl. SDr. S. S 253), Anwendung.</w:t>
      </w:r>
    </w:p>
    <w:p>
      <w:r>
        <w:rPr>
          <w:color w:val="555555"/>
          <w:sz w:val="17"/>
        </w:rPr>
        <w:t xml:space="preserve">Zitiervorschlag: § 1 WbFöVO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https://recht.nulegal.eu/gesetze/WbF%C3%B6VO/1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