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9 WasserstoffNEV — Ermittlung der kalkulatorischen Abschreibungen bei auf ausschließlichen Wasserstofftransport umgestellten Altanlagen des Gasversorgungsnetzes</w:t>
      </w:r>
    </w:p>
    <w:p>
      <w:r>
        <w:rPr>
          <w:color w:val="555555"/>
          <w:sz w:val="18"/>
        </w:rPr>
        <w:t xml:space="preserve">Wasserstoffnetzentgeltverordnung</w:t>
      </w:r>
    </w:p>
    <w:p>
      <w:r>
        <w:rPr>
          <w:color w:val="555555"/>
          <w:sz w:val="18"/>
        </w:rPr>
        <w:t xml:space="preserve">Stand: 01.12.2021 (konsolidierte Textfassung, kein amtliches Inkrafttretensdatum)</w:t>
      </w:r>
    </w:p>
    <w:p>
      <w:r>
        <w:t xml:space="preserve">(1) Bei einer Anlage des Gasversorgungsnetzes, die erstmalig vor dem 1. Januar 2006 aktiviert wurde (Altanlage) und nunmehr ausschließlich dem Wasserstoffnetzbetrieb dient, sind bei der Ermittlung der kalkulatorischen Abschreibungen nach § 8 die in den Absätzen 2 bis 5 geregelten Grundsätze ergänzend anzuwenden.</w:t>
      </w:r>
    </w:p>
    <w:p>
      <w:r>
        <w:t xml:space="preserve">(2) Für die Ermittlung der kalkulatorischen Abschreibungen</w:t>
      </w:r>
    </w:p>
    <w:p>
      <w:pPr>
        <w:ind w:left="420"/>
      </w:pPr>
      <w:r>
        <w:t xml:space="preserve">1. des eigenfinanzierten Anteils der Altanlagen ist die Summe aller anlagenspezifisch und ausgehend von dem jeweiligen Tagesneuwert nach Absatz 3 ermittelten Abschreibungsbeträge aller Altanlagen zu bilden und anschließend mit der Eigenkapitalquote zu multiplizieren;</w:t>
      </w:r>
    </w:p>
    <w:p>
      <w:pPr>
        <w:ind w:left="420"/>
      </w:pPr>
      <w:r>
        <w:t xml:space="preserve">2. des fremdfinanzierten Anteils der Altanlagen ist die Summe aller anlagenspezifisch und ausgehend von den jeweiligen, im Zeitpunkt ihrer Errichtung erstmalig aktivierten historischen Anschaffungs- und Herstellungskosten ermittelten Abschreibungsbeträge aller Altanlagen zu bilden und anschließend mit der Fremdkapitalquote zu multiplizieren.</w:t>
      </w:r>
    </w:p>
    <w:p>
      <w:r>
        <w:t xml:space="preserve">(3) Der Tagesneuwert ist der unter Berücksichtigung der technischen Entwicklung maßgebliche Anschaffungswert zum jeweiligen Bewertungszeitpunkt. Die Umrechnung der historischen Anschaffungs- und Herstellungskosten der betriebsnotwendigen Anlagegüter auf Tagesneuwerte zum jeweiligen Stichtag erfolgt unter Verwendung von Indexreihen nach Maßgabe der Absätze 4 und 5. Im Falle von auf reinen Wasserstofftransport umgestellten Altanlagen aus Gasversorgungsnetzen in Berlin, Brandenburg, Mecklenburg-Vorpommern, Sachsen, Sachsen-Anhalt und Thüringen können für jene Anlagegüter, deren Errichtung zeitlich vor ihrer erstmaligen Bewertung in Deutscher Mark liegt, die Anschaffungs- und Herstellungskosten unter Verwendung üblicher Anschaffungs- und Herstellungskosten für im vergleichbaren Zeitraum errichteter und in Deutscher Mark bewerteter Anlagegüter und einer Rückrechnung mittels der anwendbaren Indizes ermittelt werden.</w:t>
      </w:r>
    </w:p>
    <w:p>
      <w:r>
        <w:t xml:space="preserve">(4) Bei der Ermittlung der Tagesneuwerte nach Absatz 3 sind folgende Indizes des Statistischen Bundesamtes[1] heranzuziehen:</w:t>
      </w:r>
    </w:p>
    <w:p>
      <w:pPr>
        <w:ind w:left="420"/>
      </w:pPr>
      <w:r>
        <w:t xml:space="preserve">1. für die Anlagengruppen Grundstücksanlagen, Betriebsgebäude; Verwaltungsgebäude, Gebäude, Verkehrswege und Gebäude (Mess-, Regel- und Zähleranlagen) die Indexreihe Gewerbliche Betriebsgebäude, Bauleistungen am Bauwerk, ohne Umsatzsteuer, deren Indizes enthalten sind in der vom Statistischen Bundesamt herausgegebenen Fachserie 17 Reihe 4 „Preisindizes für die Bauwirtschaft“;</w:t>
      </w:r>
    </w:p>
    <w:p>
      <w:pPr>
        <w:ind w:left="420"/>
      </w:pPr>
      <w:r>
        <w:t xml:space="preserve">2. für die Anlagengruppen Rohrleitungen und Hausanschlussleitungen, Stahlleitungen PE ummantelt, Stahlleitungen kathodisch geschützt, Stahlleitungen bitumiert, Grauguss (&gt; DN 150), Duktiler Guss, Polyethylen (PE-HD) und Polyvenylchlorid (PVC) die Indexreihe Ortskanäle, Bauleistungen am Bauwerk (Tiefbau), ohne Umsatzsteuer, deren Indizes enthalten sind in der vom Statistischen Bundesamt herausgegebenen Fachserie 17 Reihe 4 „Preisindizes für die Bauwirtschaft“;</w:t>
      </w:r>
    </w:p>
    <w:p>
      <w:pPr>
        <w:ind w:left="420"/>
      </w:pPr>
      <w:r>
        <w:t xml:space="preserve">3. für die Anlagengruppen Stahlleitungen PE ummantelt, Stahlleitungen kathodisch geschützt und Stahlleitungen bitumiert, die für den Gastransport mit einem Druck größer als 16 bar ausgelegt sind,</w:t>
      </w:r>
    </w:p>
    <w:p>
      <w:pPr>
        <w:ind w:left="780"/>
      </w:pPr>
      <w:r>
        <w:t xml:space="preserve">a) die Indexreihe Stahlrohre, Rohrform-, Rohrverschluss- und Rohrverbindungsstücke aus Eisen und Stahl, deren Indizes enthalten sind in der vom Statistischen Bundesamt herausgegebenen Fachserie 17 Reihe 2 „Preise – Preise und Preisindizes für gewerbliche Produkte (Erzeugerpreise)“, mit einem Anteil von 40 Prozent und</w:t>
      </w:r>
    </w:p>
    <w:p>
      <w:pPr>
        <w:ind w:left="780"/>
      </w:pPr>
      <w:r>
        <w:t xml:space="preserve">b) die Indexreihe Ortskanäle, Bauleistungen am Bauwerk (Tiefbau), ohne Umsatzsteuer, deren Indizes enthalten sind in der vom Statistischen Bundesamt herausgegebenen Fachserie 17 Reihe 4 „Preisindizes für die Bauwirtschaft“, mit einem Anteil von 60 Prozent;</w:t>
      </w:r>
    </w:p>
    <w:p>
      <w:pPr>
        <w:ind w:left="420"/>
      </w:pPr>
      <w:r>
        <w:t xml:space="preserve">4. für alle übrigen Anlagengruppen, mit Ausnahme der Anlagengruppe Grundstücke, der Index der Erzeugerpreise für gewerbliche Produkte (Inlandsabsatz), enthalten in der vom Statistischen Bundesamt herausgegebenen Fachserie 17 Reihe 2 „Preise – Preise und Preisindizes für gewerbliche Produkte (Erzeugerpreise)“.</w:t>
      </w:r>
    </w:p>
    <w:p>
      <w:r>
        <w:t xml:space="preserve">(5) Sofern die für die Indexreihen nach Absatz 4 heranzuziehenden Indizes des Statistischen Bundesamtes nicht für den notwendigen Zeitraum der Vergangenheit verfügbar sind, sind der Ermittlung der Tagesneuwerte Ersatzindexreihen zu Grunde zu legen, die mit den in Absatz 4 genannten Indexreihen zu verketten sind. Die Verkettungsfaktoren ergeben sich jeweils aus der Division des am weitesten in der Vergangenheit liegenden Indexwertes der Indexreihe gemäß Absatz 4 durch den Indexwert der Ersatzindexreihe für dasselbe Beobachtungsjahr. Es sind folgende Ersatzindexreihen heranzuziehen:</w:t>
      </w:r>
    </w:p>
    <w:p>
      <w:pPr>
        <w:ind w:left="420"/>
      </w:pPr>
      <w:r>
        <w:t xml:space="preserve">1. für die Indexreihe Gewerbliche Betriebsgebäude, Bauleistungen am Bauwerk, ohne Umsatzsteuer</w:t>
      </w:r>
    </w:p>
    <w:p>
      <w:pPr>
        <w:ind w:left="780"/>
      </w:pPr>
      <w:r>
        <w:t xml:space="preserve">a) für den Zeitraum von 1958 bis 1968 die Indexreihe Gewerbliche Betriebsgebäude, Bauleistungen am Bauwerk, mit Umsatzsteuer, deren Indizes enthalten sind in der vom Statistischen Bundesamt herausgegebenen Fachserie 17 Reihe 4 „Preisindizes für die Bauwirtschaft“ und</w:t>
      </w:r>
    </w:p>
    <w:p>
      <w:pPr>
        <w:ind w:left="780"/>
      </w:pPr>
      <w:r>
        <w:t xml:space="preserve">b) für den Zeitraum vor 1958 die Indexreihe Wiederherstellungswerte für 1913/1914 erstellte Wohngebäude, deren Indizes enthalten sind in der vom Statistischen Bundesamt herausgegebenen Fachserie 17 Reihe 4 „Preisindizes für die Bauwirtschaft“;</w:t>
      </w:r>
    </w:p>
    <w:p>
      <w:pPr>
        <w:ind w:left="420"/>
      </w:pPr>
      <w:r>
        <w:t xml:space="preserve">2. für die Indexreihe Ortskanäle, Bauleistungen am Bauwerk (Tiefbau), ohne Umsatzsteuer</w:t>
      </w:r>
    </w:p>
    <w:p>
      <w:pPr>
        <w:ind w:left="780"/>
      </w:pPr>
      <w:r>
        <w:t xml:space="preserve">a) für den Zeitraum von 1958 bis 1968 die Indexreihe Ortskanäle, Bauleistungen am Bauwerk (Tiefbau), mit Umsatzsteuer, deren Indizes enthalten sind in der vom Statistischen Bundesamt herausgegebenen Fachserie 17 Reihe 4 „ Preisindizes für die Bauwirtschaft“, und</w:t>
      </w:r>
    </w:p>
    <w:p>
      <w:pPr>
        <w:ind w:left="780"/>
      </w:pPr>
      <w:r>
        <w:t xml:space="preserve">b) für den Zeitraum vor 1958 die Indexreihe Wiederherstellungswerte für 1913/1914 erstellte Wohngebäude, deren Indizes enthalten sind in der vom Statistischen Bundesamt herausgegebenen Fachserie 17 Reihe 4 „Preisindizes für die Bauwirtschaft“;</w:t>
      </w:r>
    </w:p>
    <w:p>
      <w:pPr>
        <w:ind w:left="420"/>
      </w:pPr>
      <w:r>
        <w:t xml:space="preserve">3. für die Indexreihe Stahlrohre, Rohrform-, Rohrverschluss- und Rohrverbindungsstücke aus Eisen und Stahl</w:t>
      </w:r>
    </w:p>
    <w:p>
      <w:pPr>
        <w:ind w:left="780"/>
      </w:pPr>
      <w:r>
        <w:t xml:space="preserve">a) für den Zeitraum von 2000 bis 2004 die Indexreihe Rohre aus Eisen und Stahl, deren Indizes enthalten sind in der vom Statistischen Bundesamt herausgegebenen Fachserie 17 Reihe 4 „Preisindizes für die Bauwirtschaft“,</w:t>
      </w:r>
    </w:p>
    <w:p>
      <w:pPr>
        <w:ind w:left="780"/>
      </w:pPr>
      <w:r>
        <w:t xml:space="preserve">b) für den Zeitraum von 1968 bis 1999 die Indexreihe Präzisionsstahlrohre, nahtlos und geschweißt, deren Indizes enthalten sind in der vom Statistischen Bundesamt herausgegebenen Fachserie 17 Reihe 2 „Preise – Preise und Preisindizes für gewerbliche Produkte (Erzeugerpreise)“ und</w:t>
      </w:r>
    </w:p>
    <w:p>
      <w:pPr>
        <w:ind w:left="780"/>
      </w:pPr>
      <w:r>
        <w:t xml:space="preserve">c) für den Zeitraum vor 1968 die Indexreihe Eisen und Stahl, deren Indizes enthalten sind in der vom Statistischen Bundesamt herausgegebenen Fachserie 17 Reihe 2 „Preise – Preise und Preisindizes für gewerbliche Produkte (Erzeugerpreise)“;</w:t>
      </w:r>
    </w:p>
    <w:p>
      <w:pPr>
        <w:ind w:left="420"/>
      </w:pPr>
      <w:r>
        <w:t xml:space="preserve">4. für die Indexreihe der Erzeugerpreise gewerblicher Produkte gesamt (ohne Mineralölerzeugnisse) für den Zeitraum vor 1976 die Indexreihe der Erzeugerpreise gewerblicher Produkte gesamt, deren Indizes enthalten sind in der vom Statistischen Bundesamt herausgegebenen Fachserie 17 Reihe 2 „Preise – Preise und Preisindizes für gewerbliche Produkte (Erzeugerpreise)“.</w:t>
      </w:r>
    </w:p>
    <w:p>
      <w:r>
        <w:t xml:space="preserve">(6) Kalkulatorische Abschreibungen für zusätzliche Investitionen in Altanlagen nach Absatz 1, insbesondere um diese Altanlagen technisch für das Wasserstoffnetz nutzbar zu machen, richten sich ausschließlich nach § 8.</w:t>
      </w:r>
    </w:p>
    <w:p>
      <w:r>
        <w:t xml:space="preserve">1 Zu beziehen beim Statistischen Bundesamt, Wiesbaden.</w:t>
      </w:r>
    </w:p>
    <w:p>
      <w:r>
        <w:rPr>
          <w:color w:val="555555"/>
          <w:sz w:val="17"/>
        </w:rPr>
        <w:t xml:space="preserve">Zitiervorschlag: § 9 WasserstoffNEV</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https://recht.nulegal.eu/gesetze/WasserstoffNEV/9</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