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WasserstoffNEV — Aufwandsgleiche Kostenpositionen</w:t>
      </w:r>
    </w:p>
    <w:p>
      <w:r>
        <w:rPr>
          <w:color w:val="555555"/>
          <w:sz w:val="18"/>
        </w:rPr>
        <w:t xml:space="preserve">Wasserstoffnetzentgeltverordnung</w:t>
      </w:r>
    </w:p>
    <w:p>
      <w:r>
        <w:rPr>
          <w:color w:val="555555"/>
          <w:sz w:val="18"/>
        </w:rPr>
        <w:t xml:space="preserve">Stand: 01.12.2021 (konsolidierte Textfassung, kein amtliches Inkrafttretensdatum)</w:t>
      </w:r>
    </w:p>
    <w:p>
      <w:r>
        <w:t xml:space="preserve">(1) Aufwandsgleiche Kostenpositionen sind den nach § 28k Absatz 1 Satz 1 oder Absatz 2 Satz 3 des Energiewirtschaftsgesetzes aufgestellten Gewinn- und Verlustrechnungen für den Wasserstoffnetzbetrieb zu entnehmen und nach Maßgabe des § 6 Absatz 1 bei der Bestimmung der Netzkosten einzubeziehen.</w:t>
      </w:r>
    </w:p>
    <w:p>
      <w:r>
        <w:t xml:space="preserve">(2) Fremdkapitalzinsen sind in ihrer tatsächlichen Höhe einzubeziehen, höchstens jedoch in der Höhe kapitalmarktüblicher Zinsen für vergleichbare Kreditaufnahmen.</w:t>
      </w:r>
    </w:p>
    <w:p>
      <w:r>
        <w:rPr>
          <w:color w:val="555555"/>
          <w:sz w:val="17"/>
        </w:rPr>
        <w:t xml:space="preserve">Zitiervorschlag: § 7 WasserstoffNEV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https://recht.nulegal.eu/gesetze/WasserstoffNEV/7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