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WasserstoffNEV — Umstellung bestehender Gasnetzinfrastruktur auf reinen Wasserstofftransport</w:t>
      </w:r>
    </w:p>
    <w:p>
      <w:r>
        <w:rPr>
          <w:color w:val="555555"/>
          <w:sz w:val="18"/>
        </w:rPr>
        <w:t xml:space="preserve">Wasserstoffnetzentgeltverordnung</w:t>
      </w:r>
    </w:p>
    <w:p>
      <w:r>
        <w:rPr>
          <w:color w:val="555555"/>
          <w:sz w:val="18"/>
        </w:rPr>
        <w:t xml:space="preserve">Stand: 01.12.2021 (konsolidierte Textfassung, kein amtliches Inkrafttretensdatum)</w:t>
      </w:r>
    </w:p>
    <w:p>
      <w:r>
        <w:t xml:space="preserve">Ab dem Zeitpunkt, in dem Anlagen, die bisher der Gasversorgung dienten, in einem Wasserstoffnetz betrieben werden, werden sie bezogen auf die Kosten und die Entgelte für den Netzzugang zu Anlagen des Wasserstoffnetzes. Die kalkulatorische Bewertung dieser Anlagen erfolgt dann nach den §§ 8 und 9.</w:t>
      </w:r>
    </w:p>
    <w:p>
      <w:r>
        <w:rPr>
          <w:color w:val="555555"/>
          <w:sz w:val="17"/>
        </w:rPr>
        <w:t xml:space="preserve">Zitiervorschlag: § 13 WasserstoffNEV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https://recht.nulegal.eu/gesetze/WasserstoffNEV/13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