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WasserstoffBG — Zweck und Ziel des Gesetzes</w:t>
      </w:r>
    </w:p>
    <w:p>
      <w:r>
        <w:rPr>
          <w:color w:val="555555"/>
          <w:sz w:val="18"/>
        </w:rPr>
        <w:t xml:space="preserve">Wasserstoffbeschleunigungsgesetz</w:t>
      </w:r>
    </w:p>
    <w:p>
      <w:r>
        <w:rPr>
          <w:color w:val="555555"/>
          <w:sz w:val="18"/>
        </w:rPr>
        <w:t xml:space="preserve">Stand: 02.04.2026 (konsolidierte Textfassung, kein amtliches Inkrafttretensdatum)</w:t>
      </w:r>
    </w:p>
    <w:p>
      <w:r>
        <w:t xml:space="preserve">Zweck dieses Gesetzes ist die Schaffung rechtlicher Rahmenbedingungen für den vereinfachten und beschleunigten Auf- und Ausbau einer Infrastruktur für die Erzeugung, die Speicherung, den Import und den Transport von Wasserstoff. Dieses Gesetz soll insbesondere zur Erreichung der nationalen Klimaschutzziele einen zentralen Beitrag zum Hochlauf der Wasserstoffwirtschaft leisten. Ziel ist es, die Versorgung mit Wasserstoff sicherzustellen.</w:t>
      </w:r>
    </w:p>
    <w:p>
      <w:r>
        <w:rPr>
          <w:color w:val="555555"/>
          <w:sz w:val="17"/>
        </w:rPr>
        <w:t xml:space="preserve">Zitiervorschlag: § 1 WasserstoffBG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https://recht.nulegal.eu/gesetze/WasserstoffBG/1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