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WasserMeistPrV — Übergangsvorschrift</w:t>
      </w:r>
    </w:p>
    <w:p>
      <w:r>
        <w:rPr>
          <w:color w:val="555555"/>
          <w:sz w:val="18"/>
        </w:rPr>
        <w:t xml:space="preserve">Verordnung über die Prüfung zum anerkannten Abschluss Geprüfter Wassermeister/Geprüfte Wassermeisterin</w:t>
      </w:r>
    </w:p>
    <w:p>
      <w:r>
        <w:rPr>
          <w:color w:val="555555"/>
          <w:sz w:val="18"/>
        </w:rPr>
        <w:t xml:space="preserve">Stand: 10.01.2020 (konsolidierte Textfassung, kein amtliches Inkrafttretensdatum)</w:t>
      </w:r>
    </w:p>
    <w:p>
      <w:r>
        <w:t xml:space="preserve">Die bis zum Ablauf des 31. August 2009 begonnenen Prüfungsverfahren können nach den bisherigen Vorschriften zu Ende geführt werden.</w:t>
      </w:r>
    </w:p>
    <w:p>
      <w:r>
        <w:rPr>
          <w:color w:val="555555"/>
          <w:sz w:val="17"/>
        </w:rPr>
        <w:t xml:space="preserve">Zitiervorschlag: § 11 WasserMeistPrV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https://recht.nulegal.eu/gesetze/WasserMeistPrV/11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