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WasUTechAusbV — Dauer der Berufsausbildung</w:t>
      </w:r>
    </w:p>
    <w:p>
      <w:r>
        <w:rPr>
          <w:color w:val="555555"/>
          <w:sz w:val="18"/>
        </w:rPr>
        <w:t xml:space="preserve">Wasserversorgungsumwelttechnologen-Ausbildungsverordnung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WasUTechAusbV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https://recht.nulegal.eu/gesetze/WasUTechAusbV/2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