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WasUTechAusbV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Wasserversorgungsumwelttechnologen-Ausbildungsverordnung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„Mechanisches Anpassen eines umwelttechnischen Systems“    mit 20 Prozent,</w:t>
      </w:r>
    </w:p>
    <w:p>
      <w:r>
        <w:rPr>
          <w:rFonts w:ascii="Courier New" w:hAnsi="Courier New"/>
          <w:sz w:val="17"/>
        </w:rPr>
        <w:t xml:space="preserve">„Beurteilen und Beheben einer elektrotechnischen Betriebsstörung“    mit 15 Prozent,</w:t>
      </w:r>
    </w:p>
    <w:p>
      <w:r>
        <w:rPr>
          <w:rFonts w:ascii="Courier New" w:hAnsi="Courier New"/>
          <w:sz w:val="17"/>
        </w:rPr>
        <w:t xml:space="preserve">„Gewinnen, Aufbereiten und Speichern von Wasser“    mit 35 Prozent,</w:t>
      </w:r>
    </w:p>
    <w:p>
      <w:r>
        <w:rPr>
          <w:rFonts w:ascii="Courier New" w:hAnsi="Courier New"/>
          <w:sz w:val="17"/>
        </w:rPr>
        <w:t xml:space="preserve">„Sicherstellen der Verteilung von Trinkwasser“    mit 20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16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„Beurteilen und Beheben einer elektrotechnischen Betriebsstörung“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ist ein Beschluss nach § 42 Absatz 1 Nummer 3 des Berufsbildungsgesetzes zu fassen.</w:t>
      </w:r>
    </w:p>
    <w:p>
      <w:r>
        <w:rPr>
          <w:color w:val="555555"/>
          <w:sz w:val="17"/>
        </w:rPr>
        <w:t xml:space="preserve">Zitiervorschlag: § 15 WasUTechAusbV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https://recht.nulegal.eu/gesetze/WasUTechAusbV/15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