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WasUTechAusbV — Staatliche Anerkennung des Ausbildungsberufes</w:t>
      </w:r>
    </w:p>
    <w:p>
      <w:r>
        <w:rPr>
          <w:color w:val="555555"/>
          <w:sz w:val="18"/>
        </w:rPr>
        <w:t xml:space="preserve">Wasserversorgungsumwelttechnologen-Ausbildungsverordnung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Der Ausbildungsberuf mit der Berufsbezeichnung des Umwelttechnologen für Wasserversorgung und der Umwelttechnologin für Wasserversorgung wird nach § 4 Absatz 1 des Berufsbildungsgesetzes staatlich anerkannt. Der Ausbildungsberuf ist, soweit die Berufsausbildung im Bereich des öffentlichen Dienstes stattfindet, Ausbildungsberuf des öffentlichen Dienstes. Im Übrigen ist er Ausbildungsberuf der gewerblichen Wirtschaft.</w:t>
      </w:r>
    </w:p>
    <w:p>
      <w:r>
        <w:rPr>
          <w:color w:val="555555"/>
          <w:sz w:val="17"/>
        </w:rPr>
        <w:t xml:space="preserve">Zitiervorschlag: § 1 WasUTechAusbV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https://recht.nulegal.eu/gesetze/WasUTechAusbV/1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