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WasSkiV 1990</w:t>
      </w:r>
    </w:p>
    <w:p>
      <w:r>
        <w:rPr>
          <w:color w:val="555555"/>
          <w:sz w:val="18"/>
        </w:rPr>
        <w:t xml:space="preserve">Wasserskiverordnung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Abs. 1 Nr. 1 und 5 und des § 3c Abs. 1 Satz 1 und 2 Nr. 2 in Verbindung mit § 11 Abs. 1 Satz 2 des Binnenschiffahrtsaufgabengesetzes in der Fassung der Bekanntmachung vom 4. August 1986 (BGBl. I S. 1270) wird verordnet:</w:t>
      </w:r>
    </w:p>
    <w:p>
      <w:r>
        <w:rPr>
          <w:color w:val="555555"/>
          <w:sz w:val="17"/>
        </w:rPr>
        <w:t xml:space="preserve">Zitiervorschlag: Eingangsformel WasSkiV 1990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https://recht.nulegal.eu/gesetze/WasSkiV%201990/eingangsformel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