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WasSkiV 1990</w:t>
      </w:r>
    </w:p>
    <w:p>
      <w:r>
        <w:rPr>
          <w:color w:val="555555"/>
          <w:sz w:val="18"/>
        </w:rPr>
        <w:t xml:space="preserve">Wasserskiverordnung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Unbeschadet des § 1 Abs. 1 Satz 1 Nr. 1 dürfen nur mit Erlaubnis der Generaldirektion Wasserstraßen und Schifffahrt betrieben werden:</w:t>
      </w:r>
    </w:p>
    <w:p>
      <w:pPr>
        <w:ind w:left="420"/>
      </w:pPr>
      <w:r>
        <w:t xml:space="preserve">1. das Wasserskilaufen von mehreren Personen an einer oder mehreren seitlich am Fahrzeug fest angebrachten Stangen oder sonstigen Vorrichtungen,</w:t>
      </w:r>
    </w:p>
    <w:p>
      <w:pPr>
        <w:ind w:left="420"/>
      </w:pPr>
      <w:r>
        <w:t xml:space="preserve">2. das Drachen- oder Fallschirmfliegen.</w:t>
      </w:r>
    </w:p>
    <w:p>
      <w:r>
        <w:t xml:space="preserve">Die Erlaubnis kann auch nachträglich befristet und mit Auflagen verbunden werden.</w:t>
      </w:r>
    </w:p>
    <w:p>
      <w:r>
        <w:t xml:space="preserve">(2) Die Generaldirektion Wasserstraßen und Schifffahrt kann bei der Erlaubnis von Veranstaltungen, die zu Ansammlungen von Fahrzeugen führen oder die Schiffahrt beeinträchtigen können, sowie bei der Erlaubnis nach Absatz 1 von den Bestimmungen des § 1 Abs. 1 Nr. 1 und 2 abweichen.</w:t>
      </w:r>
    </w:p>
    <w:p>
      <w:r>
        <w:t xml:space="preserve">(3) Die Generaldirektion Wasserstraßen und Schifffahrt kann die Befugnis zur Erteilung der Erlaubnis nach Absatz 1 oder 2 ihren nachgeordneten Wasserstraßen- und Schifffahrtsämtern übertragen.</w:t>
      </w:r>
    </w:p>
    <w:p>
      <w:r>
        <w:rPr>
          <w:color w:val="555555"/>
          <w:sz w:val="17"/>
        </w:rPr>
        <w:t xml:space="preserve">Zitiervorschlag: § 4 WasSkiV 1990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https://recht.nulegal.eu/gesetze/WasSkiV%201990/4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