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WasSkiV 1990</w:t>
      </w:r>
    </w:p>
    <w:p>
      <w:r>
        <w:rPr>
          <w:color w:val="555555"/>
          <w:sz w:val="18"/>
        </w:rPr>
        <w:t xml:space="preserve">Wasserskiverordnung</w:t>
      </w:r>
    </w:p>
    <w:p>
      <w:r>
        <w:rPr>
          <w:color w:val="555555"/>
          <w:sz w:val="18"/>
        </w:rPr>
        <w:t xml:space="preserve">Stand: 10.06.2019 (konsolidierte Textfassung, kein amtliches Inkrafttretensdatum)</w:t>
      </w:r>
    </w:p>
    <w:p>
      <w:r>
        <w:t xml:space="preserve">Im Sinne dieser Verordnung sind</w:t>
      </w:r>
    </w:p>
    <w:p>
      <w:pPr>
        <w:ind w:left="420"/>
      </w:pPr>
      <w:r>
        <w:t xml:space="preserve">1. Binnenschiffahrtsstraßen die in § 1 Abs. 1 Nr. 2 des Binnenschiffahrtsaufgabengesetzes bezeichneten Wasserstraßen mit Ausnahme der Seeschiffahrtsstraßen und der Elbe im Hamburger Hafen,</w:t>
      </w:r>
    </w:p>
    <w:p>
      <w:pPr>
        <w:ind w:left="420"/>
      </w:pPr>
      <w:r>
        <w:t xml:space="preserve">2. Wasserskilaufen alle Betätigungen, bei denen Personen, von einem Fahrzeug gezogen, mit oder ohne Wasserski oder auf sonstigen Gegenständen über das Wasser gleiten, sowie das Drachenfliegen und Fallschirmfliegen hinter einem ziehenden Wasserfahrzeug.</w:t>
      </w:r>
    </w:p>
    <w:p>
      <w:r>
        <w:rPr>
          <w:color w:val="555555"/>
          <w:sz w:val="17"/>
        </w:rPr>
        <w:t xml:space="preserve">Zitiervorschlag: § 2 WasSkiV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https://recht.nulegal.eu/gesetze/WasSkiV%201990/2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