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WasSiG — Zusatzplanung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infolge einer wesentlichen Änderung der Voraussetzungen, auf denen die Planung nach § 4 beruht, für Zwecke des § 1 die Änderung oder Ergänzung des Planes erforderlich, so kann die zuständige Behörde von dem Landkreis oder der kreisfreien Stadt die Vorlage eines Zusatzplanes verlangen. Die Vorschriften des § 4 Abs. 2 bis 4 gelten entsprechend.</w:t>
      </w:r>
    </w:p>
    <w:p>
      <w:r>
        <w:t xml:space="preserve">(2) Für die Leistungspflicht und den Verpflichtungsbescheid gelten die §§ 5 und 6 entsprechend.</w:t>
      </w:r>
    </w:p>
    <w:p>
      <w:r>
        <w:rPr>
          <w:color w:val="555555"/>
          <w:sz w:val="17"/>
        </w:rPr>
        <w:t xml:space="preserve">Zitiervorschlag: § 7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