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WasSiG — Rechtsverordnungen</w:t>
      </w:r>
    </w:p>
    <w:p>
      <w:r>
        <w:rPr>
          <w:color w:val="555555"/>
          <w:sz w:val="18"/>
        </w:rPr>
        <w:t xml:space="preserve">Wassersicherstellungsgesetz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Bundesregierung kann durch Rechtsverordnung mit Zustimmung des Bundesrates nähere Vorschriften erlassen über</w:t>
      </w:r>
    </w:p>
    <w:p>
      <w:pPr>
        <w:ind w:left="420"/>
      </w:pPr>
      <w:r>
        <w:t xml:space="preserve">1. die Grundsätze für die Bemessung des lebensnotwendigen Bedarfs an Trinkwasser, des unentbehrlichen Umfangs bei der Versorgung mit Betriebswasser und des Bedarfs an Löschwasser,</w:t>
      </w:r>
    </w:p>
    <w:p>
      <w:pPr>
        <w:ind w:left="420"/>
      </w:pPr>
      <w:r>
        <w:t xml:space="preserve">2. die Grundsätze für die Beschaffenheit des Trink- und Betriebswassers,</w:t>
      </w:r>
    </w:p>
    <w:p>
      <w:pPr>
        <w:ind w:left="420"/>
      </w:pPr>
      <w:r>
        <w:t xml:space="preserve">3. die technischen Anforderungen, denen Anlagen, zu deren Bau oder Umbau nach § 2 Abs. 1 verpflichtet werden kann, genügen müssen.</w:t>
      </w:r>
    </w:p>
    <w:p>
      <w:r>
        <w:rPr>
          <w:color w:val="555555"/>
          <w:sz w:val="17"/>
        </w:rPr>
        <w:t xml:space="preserve">Zitiervorschlag: § 3 WasSiG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https://recht.nulegal.eu/gesetze/WasSiG/3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