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WasSiG — Ordnungswidrigkeiten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 Anlage ohne die nach § 8 Satz 1 erforderliche Zustimmung verwendet,</w:t>
      </w:r>
    </w:p>
    <w:p>
      <w:pPr>
        <w:ind w:left="420"/>
      </w:pPr>
      <w:r>
        <w:t xml:space="preserve">2. die Pflicht nach § 9 Abs. 1 zur Instandhaltung einer Anlage oder die Pflicht zur Anzeige nach § 9 Abs. 2 Satz 1 verletzt,</w:t>
      </w:r>
    </w:p>
    <w:p>
      <w:pPr>
        <w:ind w:left="420"/>
      </w:pPr>
      <w:r>
        <w:t xml:space="preserve">3. eine Anlage entgegen der Anordnung nach § 9 Abs. 2 Satz 2 wesentlich ändert,</w:t>
      </w:r>
    </w:p>
    <w:p>
      <w:pPr>
        <w:ind w:left="420"/>
      </w:pPr>
      <w:r>
        <w:t xml:space="preserve">4. entgegen § 18 Abs. 1 eine Auskunft nicht, nicht richtig, nicht vollständig oder nicht rechtzeitig erteilt oder</w:t>
      </w:r>
    </w:p>
    <w:p>
      <w:pPr>
        <w:ind w:left="420"/>
      </w:pPr>
      <w:r>
        <w:t xml:space="preserve">5. entgegen § 18 Abs. 2 die Duldung von Prüfungen oder Besichtigungen, die Einsicht in geschäftliche Unterlagen oder die Entnahme von Proben verweigert.</w:t>
      </w:r>
    </w:p>
    <w:p>
      <w:r>
        <w:t xml:space="preserve">(2) Die Ordnungswidrigkeit kann mit einer Geldbuße bis zu zehntausend Euro geahndet werden.</w:t>
      </w:r>
    </w:p>
    <w:p>
      <w:r>
        <w:rPr>
          <w:color w:val="555555"/>
          <w:sz w:val="17"/>
        </w:rPr>
        <w:t xml:space="preserve">Zitiervorschlag: § 29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