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WasSiG — Kosten der Auftragsverwaltung</w:t>
      </w:r>
    </w:p>
    <w:p>
      <w:r>
        <w:rPr>
          <w:color w:val="555555"/>
          <w:sz w:val="18"/>
        </w:rPr>
        <w:t xml:space="preserve">Wassersicherstellungsgesetz</w:t>
      </w:r>
    </w:p>
    <w:p>
      <w:r>
        <w:rPr>
          <w:color w:val="555555"/>
          <w:sz w:val="18"/>
        </w:rPr>
        <w:t xml:space="preserve">Stand: 12.08.2020 (konsolidierte Textfassung, kein amtliches Inkrafttretensdatum)</w:t>
      </w:r>
    </w:p>
    <w:p>
      <w:r>
        <w:t xml:space="preserve">Der Bund trägt die Kosten, die den Ländern, Gemeinden und Gemeindeverbänden durch den Vollzug dieses Gesetzes, der auf Grund dieses Gesetzes erlassenen Rechtsverordnungen und allgemeinen Verwaltungsvorschriften und der Weisungen des Bundesministers des Innern, für Bau und Heimat entstehen; persönliche und sächliche Verwaltungskosten werden nicht übernommen.</w:t>
      </w:r>
    </w:p>
    <w:p>
      <w:r>
        <w:rPr>
          <w:color w:val="555555"/>
          <w:sz w:val="17"/>
        </w:rPr>
        <w:t xml:space="preserve">Zitiervorschlag: § 24 WasSiG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https://recht.nulegal.eu/gesetze/WasSiG/24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