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WasSiG — Härteausgleich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durch eine Maßnahme auf Grund dieses Gesetzes oder einer nach diesem Gesetz erlassenen Rechtsverordnung oder durch eine Duldungspflicht nach § 15 dem Betroffenen ein Vermögensnachteil zugefügt, der nicht nach § 19 Abs. 1 abzugelten ist, ist eine Entschädigung in Geld zu gewähren, wenn und soweit dies zur Abwendung oder zum Ausgleich unbilliger Härten geboten erscheint.</w:t>
      </w:r>
    </w:p>
    <w:p>
      <w:r>
        <w:t xml:space="preserve">(2) Zur Leistung der Entschädigung ist der Bund verpflichtet.</w:t>
      </w:r>
    </w:p>
    <w:p>
      <w:r>
        <w:t xml:space="preserve">(3) § 19 Abs. 3 ist entsprechend anzuwenden.</w:t>
      </w:r>
    </w:p>
    <w:p>
      <w:r>
        <w:rPr>
          <w:color w:val="555555"/>
          <w:sz w:val="17"/>
        </w:rPr>
        <w:t xml:space="preserve">Zitiervorschlag: § 21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