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WasSiG — Auskünfte</w:t>
      </w:r>
    </w:p>
    <w:p>
      <w:r>
        <w:rPr>
          <w:color w:val="555555"/>
          <w:sz w:val="18"/>
        </w:rPr>
        <w:t xml:space="preserve">Wassersicherstellungsgesetz</w:t>
      </w:r>
    </w:p>
    <w:p>
      <w:r>
        <w:rPr>
          <w:color w:val="555555"/>
          <w:sz w:val="18"/>
        </w:rPr>
        <w:t xml:space="preserve">Stand: 10.06.2019 (konsolidierte Textfassung, kein amtliches Inkrafttretensdatum)</w:t>
      </w:r>
    </w:p>
    <w:p>
      <w:r>
        <w:t xml:space="preserve">(1) Zur Durchführung dieses Gesetzes haben alle natürlichen und juristischen Personen und nichtrechtsfähigen Personenvereinigungen der zuständigen Behörde und den zur Planvorlage (§§ 4 und 7) verpflichteten Gemeinden, Gemeindeverbänden, Zweckverbänden und Wasser- und Bodenverbänden auf Verlangen die erforderlichen Auskünfte zu erteilen.</w:t>
      </w:r>
    </w:p>
    <w:p>
      <w:r>
        <w:t xml:space="preserve">(2) Die von der zuständigen Behörde oder von den in Absatz 1 genannten Körperschaften mit der Einholung von Auskünften beauftragten Personen sind im Rahmen des Absatzes 1 befugt, Grundstücke, Anlagen und Geschäftsräume des Auskunftspflichtigen zu betreten, dort Prüfungen und Besichtigungen vorzunehmen, Proben zu entnehmen und in die technischen Unterlagen des Auskunftspflichtigen Einsicht zu nehmen. Bei juristischen Personen und nicht rechtsfähigen Personenvereinigungen haben die nach Gesetz, Satzung oder Gesellschaftsvertrag zur Vertretung berufenen Personen die verlangten Auskünfte zu erteilen und Maßnahmen nach Satz 1 zu dulden.</w:t>
      </w:r>
    </w:p>
    <w:p>
      <w:r>
        <w:t xml:space="preserve">(3) Der zur Erteilung einer Auskunft Verpflichtete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t xml:space="preserve">(4) Die nach den Absätzen 1 und 2 erlangten Kenntnisse und Unterlagen dürfen nicht für ein Besteuerungsverfahren, ein Strafverfahren wegen einer Steuerstraftat oder ein Bußgeldverfahren wegen einer Steuerordnungswidrigkeit verwendet werden. Die Vorschriften der §§ 93, 97, 105 Abs. 1, § 111 Abs. 5 in Verbindung mit § 105 Abs. 1 sowie § 116 Abs. 1 der Abgabenordnung gelten insoweit nicht.</w:t>
      </w:r>
    </w:p>
    <w:p>
      <w:r>
        <w:rPr>
          <w:color w:val="555555"/>
          <w:sz w:val="17"/>
        </w:rPr>
        <w:t xml:space="preserve">Zitiervorschlag: § 18 WasSiG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https://recht.nulegal.eu/gesetze/WasSiG/18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