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WasSiG — Rechtsverordnungen über Maßnahmen im Verteidigungsfall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12.08.2020 (konsolidierte Textfassung, kein amtliches Inkrafttretensdatum)</w:t>
      </w:r>
    </w:p>
    <w:p>
      <w:r>
        <w:t xml:space="preserve">(1) Die Bundesregierung wird ermächtigt, für die Zwecke des § 1 durch Rechtsverordnung mit Zustimmung des Bundesrates Vorschriften zu erlassen über</w:t>
      </w:r>
    </w:p>
    <w:p>
      <w:pPr>
        <w:ind w:left="420"/>
      </w:pPr>
      <w:r>
        <w:t xml:space="preserve">1. den Betrieb der Wasserversorgungs-, Abwasser-, Stau-, Speicher- und Entwässerungsanlagen,</w:t>
      </w:r>
    </w:p>
    <w:p>
      <w:pPr>
        <w:ind w:left="420"/>
      </w:pPr>
      <w:r>
        <w:t xml:space="preserve">2. die Lieferung und Verwendung von Wasser,</w:t>
      </w:r>
    </w:p>
    <w:p>
      <w:pPr>
        <w:ind w:left="420"/>
      </w:pPr>
      <w:r>
        <w:t xml:space="preserve">3. die Benutzung der Gewässer</w:t>
      </w:r>
    </w:p>
    <w:p>
      <w:r>
        <w:t xml:space="preserve">im Verteidigungsfall. Die Bundesregierung kann diese Befugnis durch Rechtsverordnung ohne Zustimmung des Bundesrates auf den Bundesminister des Innern, für Bau und Heimat übertragen.</w:t>
      </w:r>
    </w:p>
    <w:p>
      <w:r>
        <w:t xml:space="preserve">(2) Die Bundesregierung und der Bundesminister des Innern, für Bau und Heimat können die ihnen nach Absatz 1 zustehende Befugnis zum Erlaß von Rechtsverordnungen durch Rechtsverordnung ohne Zustimmung des Bundesrates auf die Landesregierungen, auch mit der Ermächtigung zur Weiterübertragung der Befugnis, übertragen.</w:t>
      </w:r>
    </w:p>
    <w:p>
      <w:r>
        <w:t xml:space="preserve">(3) Die Rechtsverordnungen sind aufzuheben, soweit ihre Geltung für die Zwecke des § 1 nicht mehr erforderlich ist. Rechtsverordnungen der Bundesregierung oder des Bundesministers des Innern, für Bau und Heimat sind ferner aufzuheben, wenn der Bundestag und der Bundesrat dies verlangen.</w:t>
      </w:r>
    </w:p>
    <w:p>
      <w:r>
        <w:t xml:space="preserve">(4) Rechtsverordnungen der Landesregierungen und der von diesen ermächtigten Stellen, die auf Grund einer Rechtsverordnung nach Absatz 2 erlassen werden, treten spätestens mit dieser Rechtsverordnung außer Kraft.</w:t>
      </w:r>
    </w:p>
    <w:p>
      <w:r>
        <w:rPr>
          <w:color w:val="555555"/>
          <w:sz w:val="17"/>
        </w:rPr>
        <w:t xml:space="preserve">Zitiervorschlag: § 13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