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WasSiG — Vorratshaltung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für die Zwecke des § 1 durch Rechtsverordnung mit Zustimmung des Bundesrates Vorschriften zu erlassen über</w:t>
      </w:r>
    </w:p>
    <w:p>
      <w:pPr>
        <w:ind w:left="420"/>
      </w:pPr>
      <w:r>
        <w:t xml:space="preserve">1. die Vorratshaltung von Ersatzteilen und Baustoffen sowie Treibstoffen und von sonstigen Betriebsmitteln für die Einrichtungen nach § 11 Abs. 1 Nr. 1 und 2 und für Anlagen der in § 2 genannten Art,</w:t>
      </w:r>
    </w:p>
    <w:p>
      <w:pPr>
        <w:ind w:left="420"/>
      </w:pPr>
      <w:r>
        <w:t xml:space="preserve">2. den Kreis der Leistungspflichtigen, der die in Nummer 1 bezeichneten Maßnahmen durchzuführen hat.</w:t>
      </w:r>
    </w:p>
    <w:p>
      <w:r>
        <w:t xml:space="preserve">(2) Die Aufwendungen für die Bevorratung mit Treibstoffen und sonstigen Betriebsmitteln werden dem Leistungspflichtigen ersetzt. Den Aufwendungsersatz leistet die zuständige Behörde für Rechnung des Bundes.</w:t>
      </w:r>
    </w:p>
    <w:p>
      <w:r>
        <w:rPr>
          <w:color w:val="555555"/>
          <w:sz w:val="17"/>
        </w:rPr>
        <w:t xml:space="preserve">Zitiervorschlag: § 12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