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WasSiG — Aufwendungsersatz an Leistungspflichtige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Leistungspflichtige erhält Ersatz der Aufwendungen für die Durchführung von Maßnahmen, zu denen er nach dem Verpflichtungsbescheid oder nach einer Anordnung gemäß § 5 Abs. 3 verpflichtet ist. Den Aufwendungsersatz leistet die zuständige Behörde für Rechnung des Bundes.</w:t>
      </w:r>
    </w:p>
    <w:p>
      <w:r>
        <w:t xml:space="preserve">(2) Die Kosten der Instandhaltung nach § 9 Abs. 1 werden nur ersetzt, soweit dies zum Ausgleich oder zur Abwendung unbilliger Härten geboten erscheint.</w:t>
      </w:r>
    </w:p>
    <w:p>
      <w:r>
        <w:t xml:space="preserve">(3) Verwendet der Leistungspflichtige die Anlagen für andere Zwecke als die des § 1 oder entstehen dem Leistungspflichtigen aus der Durchführung von Maßnahmen, zu denen er nach dem Verpflichtungsbescheid verpflichtet ist, andere Vorteile, so sind die Vorteile bei dem Ersatz der Aufwendungen nach Absatz 1 angemessen zu berücksichtigen. Soweit die Aufwendungen ohne Berücksichtigung dieser Vorteile ersetzt sind, hat der Leistungspflichtige zu ihrem Ausgleich einen angemessenen Betrag zurückzuerstatten.</w:t>
      </w:r>
    </w:p>
    <w:p>
      <w:r>
        <w:rPr>
          <w:color w:val="555555"/>
          <w:sz w:val="17"/>
        </w:rPr>
        <w:t xml:space="preserve">Zitiervorschlag: § 10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